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31" w:rsidRDefault="003A6E31" w:rsidP="003A6E3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 w:rsidRPr="003A6E31">
        <w:rPr>
          <w:rFonts w:ascii="DejaVuSans-Bold" w:hAnsi="DejaVuSans-Bold" w:cs="DejaVuSans-Bold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5546725" cy="6642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31" w:rsidRDefault="003A6E31" w:rsidP="003A6E3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</w:p>
    <w:p w:rsidR="003A6E31" w:rsidRDefault="003A6E31" w:rsidP="003A6E3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</w:p>
    <w:p w:rsidR="003A6E31" w:rsidRDefault="003A6E31" w:rsidP="003A6E3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OFFERTA FORMATIVA FINANZIATA PER L’ATTUAZIONE DEGLI INTERVENTI DI FORMAZIONE CONTINUA 2020/2021</w:t>
      </w:r>
    </w:p>
    <w:p w:rsidR="003A6E31" w:rsidRDefault="003A6E31" w:rsidP="003A6E31">
      <w:bookmarkStart w:id="0" w:name="_GoBack"/>
      <w:bookmarkEnd w:id="0"/>
    </w:p>
    <w:p w:rsidR="003A6E31" w:rsidRDefault="003A6E31" w:rsidP="003A6E31">
      <w:r>
        <w:t>Titolo del percorso</w:t>
      </w:r>
    </w:p>
    <w:p w:rsidR="004E5A7A" w:rsidRDefault="00676306" w:rsidP="003A6E31">
      <w:pPr>
        <w:rPr>
          <w:b/>
        </w:rPr>
      </w:pPr>
      <w:r w:rsidRPr="00676306">
        <w:rPr>
          <w:b/>
        </w:rPr>
        <w:t>SALES TRANSFORMATION: NUOVI DRIVER NEL SUCCESSO DI VENDITA</w:t>
      </w:r>
    </w:p>
    <w:p w:rsidR="00676306" w:rsidRDefault="00676306" w:rsidP="003A6E31"/>
    <w:p w:rsidR="003A6E31" w:rsidRPr="004E5A7A" w:rsidRDefault="003A6E31" w:rsidP="003A6E31">
      <w:pPr>
        <w:rPr>
          <w:b/>
        </w:rPr>
      </w:pPr>
      <w:r w:rsidRPr="004E5A7A">
        <w:rPr>
          <w:b/>
        </w:rPr>
        <w:t>Obiettivi e finalità</w:t>
      </w:r>
    </w:p>
    <w:p w:rsidR="00676306" w:rsidRDefault="00676306" w:rsidP="00676306">
      <w:pPr>
        <w:jc w:val="both"/>
      </w:pPr>
      <w:r>
        <w:t>Negli ultimi anni si è assistito all’evoluzione esponenziale delle vend</w:t>
      </w:r>
      <w:r>
        <w:t xml:space="preserve">ite on line ed alla conseguente </w:t>
      </w:r>
      <w:r>
        <w:t>sofferenza dei punti vendita tradizionali che spesso non sono riusciti a reggere il cambiamento</w:t>
      </w:r>
      <w:r>
        <w:t xml:space="preserve"> del </w:t>
      </w:r>
      <w:r>
        <w:t>mercato delle vendite al dettaglio. Ne deriva che solamente chi è s</w:t>
      </w:r>
      <w:r>
        <w:t xml:space="preserve">tato in grado di pensare ad una </w:t>
      </w:r>
      <w:r>
        <w:t xml:space="preserve">profonda trasformazione del rapporto con il cliente, è stato in </w:t>
      </w:r>
      <w:r>
        <w:t xml:space="preserve">grado di reggere la concorrenza </w:t>
      </w:r>
      <w:r>
        <w:t>digitale. Il responsabile negozio rimane l’ambasciatore del punto ve</w:t>
      </w:r>
      <w:r>
        <w:t xml:space="preserve">ndita: deve agire per essere il </w:t>
      </w:r>
      <w:r>
        <w:t>ponte fra il rapporto personale con il cliente ed il processo digitalizzato</w:t>
      </w:r>
      <w:r>
        <w:t xml:space="preserve">: la sua funzione professionale </w:t>
      </w:r>
      <w:r>
        <w:t xml:space="preserve">deve essere rivalutata come vero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della sales </w:t>
      </w:r>
      <w:proofErr w:type="spellStart"/>
      <w:r>
        <w:t>journey</w:t>
      </w:r>
      <w:proofErr w:type="spellEnd"/>
      <w:r>
        <w:t>.</w:t>
      </w:r>
    </w:p>
    <w:p w:rsidR="00676306" w:rsidRDefault="00676306" w:rsidP="00676306">
      <w:pPr>
        <w:jc w:val="both"/>
      </w:pPr>
      <w:r>
        <w:t>Nasce pertanto l’esigenza di dotare i responsabili dei punti vendita d</w:t>
      </w:r>
      <w:r>
        <w:t xml:space="preserve">i competenze tali da consentire </w:t>
      </w:r>
      <w:r>
        <w:t>di la gestione dei nuovi bisogni dei clienti e supportare la motivaz</w:t>
      </w:r>
      <w:r>
        <w:t xml:space="preserve">ione del personale nell’era dei </w:t>
      </w:r>
      <w:r>
        <w:t>social media.</w:t>
      </w:r>
    </w:p>
    <w:p w:rsidR="00676306" w:rsidRDefault="00676306" w:rsidP="00676306">
      <w:pPr>
        <w:jc w:val="both"/>
      </w:pPr>
      <w:r>
        <w:t>Obiettivo dell’azione formativa è pertanto il trasferimento dei concetti base s</w:t>
      </w:r>
      <w:r>
        <w:t xml:space="preserve">ul cambiamento ed </w:t>
      </w:r>
      <w:r>
        <w:t>evoluzione delle metodologie di vendita: trasformare il timore di vend</w:t>
      </w:r>
      <w:r>
        <w:t xml:space="preserve">ita on line in alleato del ‘off </w:t>
      </w:r>
      <w:r>
        <w:t>line.</w:t>
      </w:r>
    </w:p>
    <w:p w:rsidR="004E5A7A" w:rsidRDefault="004E5A7A" w:rsidP="00676306">
      <w:pPr>
        <w:jc w:val="both"/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AZIONE FORMATIVA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Articolazione del percorso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>Modulo 1): Come cambiano i target di consumo: SSODDISFAZIONE + SFEDELTA’ = &gt;VENDITE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Modulo 2): Come si evolve 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: cliente soddisfatto non significa cliente fedele.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>Dove sta la differenza?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>Modulo 3): L’</w:t>
      </w:r>
      <w:proofErr w:type="spellStart"/>
      <w:r>
        <w:t>omnicanalità</w:t>
      </w:r>
      <w:proofErr w:type="spellEnd"/>
      <w:r>
        <w:t xml:space="preserve">: integrazione fra fisico e virtuale: i </w:t>
      </w:r>
      <w:r>
        <w:t xml:space="preserve">fondamentali non cambiano, ma i </w:t>
      </w:r>
      <w:r>
        <w:t xml:space="preserve">meccanismi si complicano. Quali saranno i nuovi modelli di business. La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disruption</w:t>
      </w:r>
      <w:proofErr w:type="spellEnd"/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Modulo 4): No </w:t>
      </w:r>
      <w:proofErr w:type="spellStart"/>
      <w:r>
        <w:t>emotions</w:t>
      </w:r>
      <w:proofErr w:type="spellEnd"/>
      <w:r>
        <w:t xml:space="preserve"> no sales: i clienti comprano emozioni non solo p</w:t>
      </w:r>
      <w:r>
        <w:t xml:space="preserve">rodotti. I nativi digitali sono </w:t>
      </w:r>
      <w:r>
        <w:t>più informati, evoluti, ed attenti quindi cercano nuove emozioni al</w:t>
      </w:r>
      <w:r>
        <w:t xml:space="preserve">l’interno dei punti vendita. Le </w:t>
      </w:r>
      <w:r>
        <w:t>emozioni primarie e la leva sui 5 sensi. Metodologie e strumenti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Modulo 5): La sales </w:t>
      </w:r>
      <w:proofErr w:type="spellStart"/>
      <w:r>
        <w:t>transformation</w:t>
      </w:r>
      <w:proofErr w:type="spellEnd"/>
      <w:r>
        <w:t>: il nuovo rapporto fra online e offl</w:t>
      </w:r>
      <w:r>
        <w:t xml:space="preserve">ine. L’integrazione </w:t>
      </w:r>
      <w:proofErr w:type="spellStart"/>
      <w:r>
        <w:t>omnichannel</w:t>
      </w:r>
      <w:proofErr w:type="spellEnd"/>
      <w:r>
        <w:t xml:space="preserve"> </w:t>
      </w:r>
      <w:r>
        <w:t xml:space="preserve">con i servizi al consumatore. La trasformazione del rapporto </w:t>
      </w:r>
      <w:proofErr w:type="spellStart"/>
      <w:r>
        <w:t>person</w:t>
      </w:r>
      <w:proofErr w:type="spellEnd"/>
      <w:r>
        <w:t xml:space="preserve"> t</w:t>
      </w:r>
      <w:r>
        <w:t xml:space="preserve">o </w:t>
      </w:r>
      <w:proofErr w:type="spellStart"/>
      <w:r>
        <w:t>person</w:t>
      </w:r>
      <w:proofErr w:type="spellEnd"/>
      <w:r>
        <w:t xml:space="preserve"> legato alla vendita di </w:t>
      </w:r>
      <w:r>
        <w:t xml:space="preserve">un prodotto </w:t>
      </w:r>
      <w:r>
        <w:lastRenderedPageBreak/>
        <w:t>in una relazione che si basa anche su uno scambi</w:t>
      </w:r>
      <w:r>
        <w:t xml:space="preserve">o immateriale quali consulenza, </w:t>
      </w:r>
      <w:r>
        <w:t>informazioni e rassicurazioni. Il cliente ritrova nel punto vendita il p</w:t>
      </w:r>
      <w:r>
        <w:t xml:space="preserve">roseguimento dell’esperienza on </w:t>
      </w:r>
      <w:r>
        <w:t>line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Modulo 6): La sales </w:t>
      </w:r>
      <w:proofErr w:type="spellStart"/>
      <w:r>
        <w:t>journey</w:t>
      </w:r>
      <w:proofErr w:type="spellEnd"/>
      <w:r>
        <w:t xml:space="preserve"> e la </w:t>
      </w:r>
      <w:proofErr w:type="spellStart"/>
      <w:r>
        <w:t>multisensorialità</w:t>
      </w:r>
      <w:proofErr w:type="spellEnd"/>
      <w:r>
        <w:t>: Offrire vere ed aute</w:t>
      </w:r>
      <w:r>
        <w:t xml:space="preserve">ntiche esperienze privilegiando </w:t>
      </w:r>
      <w:r>
        <w:t>le leve emozionali perché i nostri sensi guidano le nostre scelte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4E5A7A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>Modulo 7): La promozione e gestione del cambiamento: nuovi modelli</w:t>
      </w:r>
      <w:r>
        <w:t xml:space="preserve"> di leadership. Saper leggere i </w:t>
      </w:r>
      <w:r>
        <w:t>propri collaboratori alla luce delle trasformazioni della società. I</w:t>
      </w:r>
      <w:r>
        <w:t>l responsabile non più capo, ma coach.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4E5A7A" w:rsidRPr="00676306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6306">
        <w:rPr>
          <w:b/>
        </w:rPr>
        <w:t>Metodologie e strumenti</w:t>
      </w:r>
    </w:p>
    <w:p w:rsidR="004E5A7A" w:rsidRPr="004E5A7A" w:rsidRDefault="00676306" w:rsidP="00676306">
      <w:pPr>
        <w:autoSpaceDE w:val="0"/>
        <w:autoSpaceDN w:val="0"/>
        <w:adjustRightInd w:val="0"/>
        <w:spacing w:after="0" w:line="240" w:lineRule="auto"/>
        <w:jc w:val="both"/>
      </w:pPr>
      <w:r>
        <w:t>Le metodologie didattiche dovranno tenere conto delle peculiarità del si</w:t>
      </w:r>
      <w:r>
        <w:t xml:space="preserve">ngolo utente, del livello della </w:t>
      </w:r>
      <w:r>
        <w:t>competenza in ingresso e delle conoscenze specifiche del settore di riferimento. La metod</w:t>
      </w:r>
      <w:r>
        <w:t xml:space="preserve">ologia </w:t>
      </w:r>
      <w:r>
        <w:t>didattica metterà pertanto al centro il soggetto in apprend</w:t>
      </w:r>
      <w:r>
        <w:t xml:space="preserve">imento. Le numerose simulazioni </w:t>
      </w:r>
      <w:r>
        <w:t>consentiranno agli allievi di cimentarsi con attività pratiche perfettam</w:t>
      </w:r>
      <w:r>
        <w:t xml:space="preserve">ente riconducibili all’attività </w:t>
      </w:r>
      <w:r>
        <w:t>lavorativa. Le lezioni frontali saranno arricchite dall’impiego di esercita</w:t>
      </w:r>
      <w:r>
        <w:t xml:space="preserve">zioni singole e di gruppo,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e supporti audiovisivi utili a favorire una elevata intera</w:t>
      </w:r>
      <w:r>
        <w:t xml:space="preserve">zione d’aula e, al contempo, la </w:t>
      </w:r>
      <w:r>
        <w:t>consapevolezza delle competenze possedute e da sviluppare. Verrà ino</w:t>
      </w:r>
      <w:r>
        <w:t xml:space="preserve">ltre chiesto ai partecipanti di </w:t>
      </w:r>
      <w:r>
        <w:t xml:space="preserve">analizzare alcuni case </w:t>
      </w:r>
      <w:proofErr w:type="spellStart"/>
      <w:r>
        <w:t>studies</w:t>
      </w:r>
      <w:proofErr w:type="spellEnd"/>
      <w:r>
        <w:t xml:space="preserve"> e produrre </w:t>
      </w:r>
      <w:proofErr w:type="spellStart"/>
      <w:r>
        <w:t>project</w:t>
      </w:r>
      <w:proofErr w:type="spellEnd"/>
      <w:r>
        <w:t xml:space="preserve"> work individuali o di gruppo.</w:t>
      </w:r>
    </w:p>
    <w:p w:rsidR="00676306" w:rsidRDefault="00676306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Durata del percorso in ore</w:t>
      </w: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  <w:r w:rsidRPr="004E5A7A">
        <w:t>32</w:t>
      </w:r>
      <w:r>
        <w:t xml:space="preserve"> ore</w:t>
      </w:r>
    </w:p>
    <w:p w:rsid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Numero iscritti per edizione</w:t>
      </w: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  <w:r w:rsidRPr="004E5A7A">
        <w:t>10</w:t>
      </w:r>
    </w:p>
    <w:p w:rsid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Valore del voucher</w:t>
      </w: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  <w:r w:rsidRPr="004E5A7A">
        <w:t>1500,00 (interamente finanziato da Regione Lombardia)</w:t>
      </w:r>
    </w:p>
    <w:p w:rsid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</w:p>
    <w:p w:rsidR="004E5A7A" w:rsidRP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5A7A">
        <w:rPr>
          <w:b/>
        </w:rPr>
        <w:t>Modalità di certificazione</w:t>
      </w:r>
    </w:p>
    <w:p w:rsidR="004E5A7A" w:rsidRDefault="004E5A7A" w:rsidP="00676306">
      <w:pPr>
        <w:autoSpaceDE w:val="0"/>
        <w:autoSpaceDN w:val="0"/>
        <w:adjustRightInd w:val="0"/>
        <w:spacing w:after="0" w:line="240" w:lineRule="auto"/>
        <w:jc w:val="both"/>
      </w:pPr>
      <w:r w:rsidRPr="004E5A7A">
        <w:t>Certificazione di competenza</w:t>
      </w:r>
    </w:p>
    <w:sectPr w:rsidR="004E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1"/>
    <w:rsid w:val="003A6E31"/>
    <w:rsid w:val="004E5A7A"/>
    <w:rsid w:val="00676306"/>
    <w:rsid w:val="00680E0F"/>
    <w:rsid w:val="008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B5F2-7629-4258-8DE0-6695E95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2020-09-16T12:23:00Z</dcterms:created>
  <dcterms:modified xsi:type="dcterms:W3CDTF">2020-09-16T12:23:00Z</dcterms:modified>
</cp:coreProperties>
</file>